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74B802E2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52473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1F084387" w:rsidR="00B37093" w:rsidRPr="0072152C" w:rsidRDefault="008E7506" w:rsidP="00527B6A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Pr="007971CA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52473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D52473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AD2876" w14:paraId="1930AC75" w14:textId="77777777" w:rsidTr="00FF06B1">
        <w:tc>
          <w:tcPr>
            <w:tcW w:w="5000" w:type="pct"/>
          </w:tcPr>
          <w:p w14:paraId="6B28D999" w14:textId="08B746EB" w:rsidR="00AD2876" w:rsidRDefault="00AD2876" w:rsidP="00AD2876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Pr="007C14B5">
              <w:rPr>
                <w:rFonts w:asciiTheme="majorEastAsia" w:eastAsiaTheme="majorEastAsia" w:hAnsiTheme="majorEastAsia"/>
                <w:szCs w:val="24"/>
              </w:rPr>
              <w:t>重污</w:t>
            </w:r>
            <w:r w:rsidRPr="005372D2">
              <w:rPr>
                <w:rFonts w:asciiTheme="majorEastAsia" w:eastAsiaTheme="majorEastAsia" w:hAnsiTheme="majorEastAsia"/>
                <w:szCs w:val="24"/>
              </w:rPr>
              <w:t>染工業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Pr="005372D2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AD2876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41626089" w:rsidR="00AD2876" w:rsidRPr="00AC1B03" w:rsidRDefault="00AD2876" w:rsidP="00D52473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Pr="007C14B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7C14B5">
              <w:rPr>
                <w:rFonts w:asciiTheme="majorEastAsia" w:eastAsiaTheme="majorEastAsia" w:hAnsiTheme="majorEastAsia"/>
                <w:szCs w:val="24"/>
              </w:rPr>
              <w:t>重污</w:t>
            </w:r>
            <w:r w:rsidRPr="005372D2">
              <w:rPr>
                <w:rFonts w:asciiTheme="majorEastAsia" w:eastAsiaTheme="majorEastAsia" w:hAnsiTheme="majorEastAsia"/>
                <w:szCs w:val="24"/>
              </w:rPr>
              <w:t>染工業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Pr="005372D2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5372D2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52473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Pr="005372D2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5372D2">
              <w:rPr>
                <w:rFonts w:asciiTheme="majorEastAsia" w:eastAsiaTheme="majorEastAsia" w:hAnsiTheme="majorEastAsia" w:hint="eastAsia"/>
                <w:szCs w:val="24"/>
              </w:rPr>
              <w:t>」帶大家認識中國內地和香港成功活化的工業遺址</w:t>
            </w:r>
            <w:r w:rsidRPr="005372D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54263712" w:rsidR="00B37093" w:rsidRPr="007623D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E42E6C" w:rsidRPr="00E42E6C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1E5514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根據文化遺產，認識中華文化的特色</w:t>
            </w:r>
            <w:r w:rsidR="00D52473">
              <w:rPr>
                <w:rFonts w:asciiTheme="majorEastAsia" w:eastAsiaTheme="majorEastAsia" w:hAnsiTheme="majorEastAsia" w:hint="eastAsia"/>
              </w:rPr>
              <w:t>；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國家近期的發展</w:t>
            </w:r>
          </w:p>
          <w:p w14:paraId="3133D01D" w14:textId="03923379" w:rsidR="00B37093" w:rsidRPr="007623D3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7623D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認識國家的經濟和科技發展</w:t>
            </w:r>
            <w:r w:rsidR="00D52473">
              <w:rPr>
                <w:rFonts w:asciiTheme="majorEastAsia" w:eastAsiaTheme="majorEastAsia" w:hAnsiTheme="majorEastAsia" w:hint="eastAsia"/>
              </w:rPr>
              <w:t>；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認識國家歷史與文化</w:t>
            </w:r>
          </w:p>
          <w:p w14:paraId="6574591E" w14:textId="3BE69969" w:rsidR="00C05714" w:rsidRPr="007623D3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7623D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透過閱讀，了解中國歷史與中華文化</w:t>
            </w:r>
          </w:p>
          <w:p w14:paraId="0ECE3C84" w14:textId="683EE2A2" w:rsidR="001E5514" w:rsidRPr="001E5514" w:rsidRDefault="00B37093" w:rsidP="001E5514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7623D3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建立對保護國家文化及承傳的關注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3604B577" w:rsidR="00B37093" w:rsidRPr="007623D3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623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認識國土</w:t>
            </w:r>
          </w:p>
          <w:p w14:paraId="6DF6F22D" w14:textId="1064D8E2" w:rsidR="00B37093" w:rsidRPr="007623D3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623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國家地理</w:t>
            </w:r>
          </w:p>
          <w:p w14:paraId="0F00D2D0" w14:textId="20A3486D" w:rsidR="001E5514" w:rsidRPr="001E5514" w:rsidRDefault="0077579A" w:rsidP="001E5514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623D3">
              <w:rPr>
                <w:rFonts w:asciiTheme="majorEastAsia" w:eastAsiaTheme="majorEastAsia" w:hAnsiTheme="majorEastAsia" w:hint="eastAsia"/>
              </w:rPr>
              <w:t>內容：</w:t>
            </w:r>
            <w:r w:rsidR="007623D3" w:rsidRPr="007623D3">
              <w:rPr>
                <w:rFonts w:asciiTheme="majorEastAsia" w:eastAsiaTheme="majorEastAsia" w:hAnsiTheme="majorEastAsia" w:hint="eastAsia"/>
              </w:rPr>
              <w:t>從文化遺產認識國家文化特色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1DDB3D9E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1B432F7A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FB0B3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4EF54281" w14:textId="77777777" w:rsidR="00C54791" w:rsidRPr="003C7929" w:rsidRDefault="00C54791" w:rsidP="00C54791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Pr="007C14B5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Pr="007C14B5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Pr="007C14B5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3205228F" w14:textId="6EA40E68" w:rsidR="00C54791" w:rsidRPr="008E6C33" w:rsidRDefault="00C54791" w:rsidP="00C5479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：工業生產過程中會產生不同形式</w:t>
            </w:r>
            <w:r w:rsidRPr="00C54791">
              <w:rPr>
                <w:rFonts w:asciiTheme="majorEastAsia" w:eastAsiaTheme="majorEastAsia" w:hAnsiTheme="majorEastAsia" w:hint="eastAsia"/>
                <w:szCs w:val="24"/>
              </w:rPr>
              <w:t>的環境污染，你知道包括哪些污染嗎？</w:t>
            </w:r>
          </w:p>
          <w:p w14:paraId="7DFF4825" w14:textId="3FE6F901" w:rsidR="00D01BC1" w:rsidRPr="00D01BC1" w:rsidRDefault="00D01BC1" w:rsidP="00D01BC1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1E05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廢水污染、廢氣污染、廢渣污染、噪音污染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  <w:r w:rsidR="00C54791" w:rsidRPr="008E6C33">
              <w:rPr>
                <w:rFonts w:asciiTheme="majorEastAsia" w:eastAsiaTheme="majorEastAsia" w:hAnsiTheme="majorEastAsia"/>
                <w:szCs w:val="24"/>
              </w:rPr>
              <w:t xml:space="preserve">    </w:t>
            </w:r>
          </w:p>
          <w:p w14:paraId="0A0B9DAC" w14:textId="7F0500DE" w:rsidR="00C54791" w:rsidRPr="008E6C33" w:rsidRDefault="00C54791" w:rsidP="00D01BC1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E6C33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是指</w:t>
            </w:r>
            <w:r w:rsidRPr="008E6C33">
              <w:rPr>
                <w:rFonts w:asciiTheme="majorEastAsia" w:eastAsiaTheme="majorEastAsia" w:hAnsiTheme="majorEastAsia" w:cs="Microsoft JhengHei" w:hint="eastAsia"/>
              </w:rPr>
              <w:t>對環境造成嚴重污染的工業。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Pr="008E6C33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711BD3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因為受嚴重污染而</w:t>
            </w:r>
            <w:r w:rsidRPr="008E6C33">
              <w:rPr>
                <w:rFonts w:asciiTheme="majorEastAsia" w:eastAsiaTheme="majorEastAsia" w:hAnsiTheme="majorEastAsia"/>
                <w:szCs w:val="24"/>
              </w:rPr>
              <w:t>不</w:t>
            </w:r>
          </w:p>
          <w:p w14:paraId="7AAC7B2A" w14:textId="1AEB7248" w:rsidR="00C54791" w:rsidRDefault="00711BD3" w:rsidP="00C5479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C54791" w:rsidRPr="008E6C33">
              <w:rPr>
                <w:rFonts w:asciiTheme="majorEastAsia" w:eastAsiaTheme="majorEastAsia" w:hAnsiTheme="majorEastAsia"/>
                <w:szCs w:val="24"/>
              </w:rPr>
              <w:t>被活化</w:t>
            </w:r>
            <w:r w:rsidR="00C54791" w:rsidRPr="008E6C33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="00C54791" w:rsidRPr="008E6C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  <w:r w:rsidR="00C54791" w:rsidRPr="008E6C33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5992EDB5" w14:textId="77777777" w:rsidR="00D01BC1" w:rsidRPr="00271E05" w:rsidRDefault="00D01BC1" w:rsidP="00D01BC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1E05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當然可以，中國內地有一些重工業遺產都成功被活化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</w:p>
          <w:p w14:paraId="1BD9C3DD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41820510" w:rsidR="00B3709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59D3B3B8" w14:textId="77777777" w:rsidR="00094C60" w:rsidRDefault="00094C60" w:rsidP="00094C60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59FC9C88" w14:textId="77777777" w:rsidR="00094C60" w:rsidRDefault="00094C60" w:rsidP="00094C60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重工業遺產可否被活化呢？</w:t>
            </w:r>
          </w:p>
          <w:p w14:paraId="298BA1DD" w14:textId="649E58A3" w:rsidR="00094C60" w:rsidRPr="00094C60" w:rsidRDefault="00094C60" w:rsidP="00094C60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選擇一   可以，而且非常漂亮</w:t>
            </w:r>
          </w:p>
          <w:p w14:paraId="6CCD531B" w14:textId="77777777" w:rsidR="00094C60" w:rsidRPr="00094C60" w:rsidRDefault="00094C60" w:rsidP="00094C60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選擇二   當然不可以</w:t>
            </w:r>
          </w:p>
          <w:p w14:paraId="34090A0F" w14:textId="4FFA3C1B" w:rsidR="00094C60" w:rsidRPr="00094C60" w:rsidRDefault="00094C60" w:rsidP="00094C60">
            <w:pPr>
              <w:spacing w:after="120"/>
              <w:ind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94C60">
              <w:rPr>
                <w:rFonts w:asciiTheme="majorEastAsia" w:eastAsiaTheme="majorEastAsia" w:hAnsiTheme="majorEastAsia" w:hint="eastAsia"/>
                <w:szCs w:val="24"/>
              </w:rPr>
              <w:t>(答案：選擇一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094C60">
              <w:rPr>
                <w:rFonts w:asciiTheme="majorEastAsia" w:eastAsiaTheme="majorEastAsia" w:hAnsiTheme="majorEastAsia" w:hint="eastAsia"/>
                <w:szCs w:val="24"/>
              </w:rPr>
              <w:t xml:space="preserve">可以，而且非常漂亮)  </w:t>
            </w:r>
          </w:p>
          <w:p w14:paraId="6BA00627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64FB678E" w14:textId="77777777" w:rsidR="00B112E0" w:rsidRPr="00B112E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就影片內容，邀請學生分享想法：</w:t>
            </w:r>
          </w:p>
          <w:p w14:paraId="114D0AA7" w14:textId="37C32854" w:rsidR="00B112E0" w:rsidRDefault="00B37093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B112E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B112E0">
              <w:rPr>
                <w:rFonts w:asciiTheme="majorEastAsia" w:eastAsiaTheme="majorEastAsia" w:hAnsiTheme="majorEastAsia" w:hint="eastAsia"/>
                <w:szCs w:val="24"/>
              </w:rPr>
              <w:t>你在觀看影</w:t>
            </w:r>
            <w:r w:rsidR="00C5632E" w:rsidRPr="00B27A80">
              <w:rPr>
                <w:rFonts w:asciiTheme="majorEastAsia" w:eastAsiaTheme="majorEastAsia" w:hAnsiTheme="majorEastAsia" w:hint="eastAsia"/>
                <w:szCs w:val="24"/>
              </w:rPr>
              <w:t>片前</w:t>
            </w:r>
            <w:r w:rsidR="00B05E04" w:rsidRPr="00B27A80">
              <w:rPr>
                <w:rFonts w:asciiTheme="majorEastAsia" w:eastAsiaTheme="majorEastAsia" w:hAnsiTheme="majorEastAsia" w:hint="eastAsia"/>
                <w:szCs w:val="24"/>
              </w:rPr>
              <w:t>對問題</w:t>
            </w:r>
            <w:r w:rsidR="00D5247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54791" w:rsidRPr="007C14B5">
              <w:rPr>
                <w:rFonts w:asciiTheme="majorEastAsia" w:eastAsiaTheme="majorEastAsia" w:hAnsiTheme="majorEastAsia"/>
                <w:szCs w:val="24"/>
              </w:rPr>
              <w:t>重污染工業</w:t>
            </w:r>
            <w:r w:rsidR="00C54791" w:rsidRPr="007C14B5">
              <w:rPr>
                <w:rFonts w:asciiTheme="majorEastAsia" w:eastAsiaTheme="majorEastAsia" w:hAnsiTheme="majorEastAsia" w:hint="eastAsia"/>
                <w:szCs w:val="24"/>
              </w:rPr>
              <w:t>遺址</w:t>
            </w:r>
            <w:r w:rsidR="00C54791" w:rsidRPr="007C14B5">
              <w:rPr>
                <w:rFonts w:asciiTheme="majorEastAsia" w:eastAsiaTheme="majorEastAsia" w:hAnsiTheme="majorEastAsia"/>
                <w:szCs w:val="24"/>
              </w:rPr>
              <w:t>不能被活化？</w:t>
            </w:r>
            <w:r w:rsidR="00D5247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5632E" w:rsidRPr="00B112E0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B112E0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B112E0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43E3B2BE" w:rsidR="00B37093" w:rsidRPr="00A92780" w:rsidRDefault="00B37093" w:rsidP="00B112E0">
            <w:pPr>
              <w:spacing w:after="120"/>
              <w:ind w:firstLineChars="300" w:firstLine="720"/>
              <w:jc w:val="both"/>
            </w:pPr>
            <w:r w:rsidRPr="00B112E0">
              <w:rPr>
                <w:rFonts w:asciiTheme="majorEastAsia" w:eastAsiaTheme="majorEastAsia" w:hAnsiTheme="majorEastAsia" w:hint="eastAsia"/>
              </w:rPr>
              <w:t>影片的內容中，哪一部份讓你最感</w:t>
            </w:r>
            <w:r w:rsidRPr="00A92780">
              <w:rPr>
                <w:rFonts w:hint="eastAsia"/>
              </w:rPr>
              <w:t>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7A875B69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54791" w:rsidRPr="007C14B5">
              <w:rPr>
                <w:rFonts w:asciiTheme="majorEastAsia" w:eastAsiaTheme="majorEastAsia" w:hAnsiTheme="majorEastAsia" w:hint="eastAsia"/>
                <w:szCs w:val="24"/>
              </w:rPr>
              <w:t>歷史文物可活化，能平衡保育發展最可嘉！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11046EC" w14:textId="77777777" w:rsidR="00C54791" w:rsidRDefault="00B37093" w:rsidP="00CA0EE5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2388E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4791" w:rsidRPr="00C54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是否所有工業遺址都值得活化呢？活化必須要</w:t>
            </w:r>
            <w:r w:rsidR="00C54791" w:rsidRPr="00C54791">
              <w:rPr>
                <w:rFonts w:asciiTheme="majorEastAsia" w:eastAsiaTheme="majorEastAsia" w:hAnsiTheme="majorEastAsia" w:hint="eastAsia"/>
                <w:szCs w:val="24"/>
              </w:rPr>
              <w:t>平衡保育和發展，保育是什麽意思？發展是什</w:t>
            </w:r>
          </w:p>
          <w:p w14:paraId="41501A8A" w14:textId="3A54CEE0" w:rsidR="00B37093" w:rsidRDefault="00C54791" w:rsidP="00C5479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54791">
              <w:rPr>
                <w:rFonts w:asciiTheme="majorEastAsia" w:eastAsiaTheme="majorEastAsia" w:hAnsiTheme="majorEastAsia" w:hint="eastAsia"/>
                <w:szCs w:val="24"/>
              </w:rPr>
              <w:t>麽意思？</w:t>
            </w:r>
            <w:r w:rsidR="00AA756A">
              <w:rPr>
                <w:rFonts w:asciiTheme="majorEastAsia" w:eastAsiaTheme="majorEastAsia" w:hAnsiTheme="majorEastAsia" w:hint="eastAsia"/>
                <w:szCs w:val="24"/>
              </w:rPr>
              <w:t>如果</w:t>
            </w:r>
            <w:r w:rsidR="00BB46F3" w:rsidRPr="00BB46F3">
              <w:rPr>
                <w:rFonts w:asciiTheme="majorEastAsia" w:eastAsiaTheme="majorEastAsia" w:hAnsiTheme="majorEastAsia" w:hint="eastAsia"/>
                <w:szCs w:val="24"/>
              </w:rPr>
              <w:t>只</w:t>
            </w:r>
            <w:r w:rsidR="00AA756A">
              <w:rPr>
                <w:rFonts w:asciiTheme="majorEastAsia" w:eastAsiaTheme="majorEastAsia" w:hAnsiTheme="majorEastAsia" w:hint="eastAsia"/>
                <w:szCs w:val="24"/>
              </w:rPr>
              <w:t>單一</w:t>
            </w:r>
            <w:r w:rsidR="00BB46F3" w:rsidRPr="00BB46F3">
              <w:rPr>
                <w:rFonts w:asciiTheme="majorEastAsia" w:eastAsiaTheme="majorEastAsia" w:hAnsiTheme="majorEastAsia" w:hint="eastAsia"/>
                <w:szCs w:val="24"/>
              </w:rPr>
              <w:t>重視保育或發展，各有什麼壞處？</w:t>
            </w:r>
          </w:p>
          <w:p w14:paraId="76D38B6E" w14:textId="77777777" w:rsidR="00D01BC1" w:rsidRPr="00C463E4" w:rsidRDefault="00D01BC1" w:rsidP="00D01BC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參考答案：歷史建築見證了一個地方的發展，是社會獨一無二的資產。活化的其中一個意</w:t>
            </w:r>
          </w:p>
          <w:p w14:paraId="2C98EA15" w14:textId="77777777" w:rsidR="00D01BC1" w:rsidRDefault="00D01BC1" w:rsidP="00D01BC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義，就是故意保留歷史的痕跡，又令這個地方擁有新的文化價值，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可以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引發到遊客對歷史的</w:t>
            </w:r>
          </w:p>
          <w:p w14:paraId="0158E97F" w14:textId="77777777" w:rsidR="00D01BC1" w:rsidRPr="00C463E4" w:rsidRDefault="00D01BC1" w:rsidP="00D01BC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反思，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又能</w:t>
            </w:r>
            <w:r w:rsidRPr="00C463E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做到新舊共存，在持續發展和保育兩者之間取得平衡。</w:t>
            </w:r>
          </w:p>
          <w:p w14:paraId="3916EA50" w14:textId="5DAF42EE" w:rsidR="00795AA1" w:rsidRPr="00C54791" w:rsidRDefault="00B37093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E1ED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AF64D7" w:rsidRPr="00C54791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177DEF2" w14:textId="6972AABD" w:rsidR="00963FA8" w:rsidRPr="00AF64D7" w:rsidRDefault="00963FA8" w:rsidP="00963FA8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生各自反思，對中國內地活化建築物的認識：</w:t>
            </w:r>
          </w:p>
          <w:p w14:paraId="1EB0DF2E" w14:textId="5FA6C76E" w:rsidR="00963FA8" w:rsidRPr="00AF64D7" w:rsidRDefault="00963FA8" w:rsidP="00963FA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F64D7">
              <w:rPr>
                <w:rFonts w:asciiTheme="majorEastAsia" w:eastAsiaTheme="majorEastAsia" w:hAnsiTheme="majorEastAsia" w:hint="eastAsia"/>
                <w:szCs w:val="24"/>
              </w:rPr>
              <w:t>反思：在觀看這個短片前，你對中國內地的活化建築物有多少認識？（包括有哪些活化建築物，這些建築物的歷史，活化後，這些建築物如何被保育，如何得到創新的發展</w:t>
            </w:r>
            <w:r w:rsidR="004300C3">
              <w:rPr>
                <w:rFonts w:ascii="DengXian" w:eastAsia="DengXian" w:hAnsi="DengXian" w:hint="eastAsia"/>
                <w:szCs w:val="24"/>
              </w:rPr>
              <w:t>。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026EA588" w14:textId="01EBE99A" w:rsidR="00963FA8" w:rsidRPr="00AF64D7" w:rsidRDefault="00963FA8" w:rsidP="00963FA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F64D7">
              <w:rPr>
                <w:rFonts w:asciiTheme="majorEastAsia" w:eastAsiaTheme="majorEastAsia" w:hAnsiTheme="majorEastAsia" w:hint="eastAsia"/>
                <w:szCs w:val="24"/>
              </w:rPr>
              <w:t>資料蒐集：</w:t>
            </w:r>
            <w:r w:rsidR="00366C97" w:rsidRPr="00232EE0">
              <w:rPr>
                <w:rFonts w:asciiTheme="majorEastAsia" w:eastAsiaTheme="majorEastAsia" w:hAnsiTheme="majorEastAsia" w:hint="eastAsia"/>
                <w:szCs w:val="24"/>
              </w:rPr>
              <w:t>透過網絡搜尋或閱讀書籍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等方法認識中國內地一些活化建築物</w:t>
            </w:r>
            <w:r w:rsidRPr="00366C97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C58EF" w:rsidRPr="00BC58EF">
              <w:rPr>
                <w:rFonts w:asciiTheme="majorEastAsia" w:eastAsiaTheme="majorEastAsia" w:hAnsiTheme="majorEastAsia" w:hint="eastAsia"/>
                <w:szCs w:val="24"/>
              </w:rPr>
              <w:t>蒐集的</w:t>
            </w:r>
            <w:r w:rsidR="00366C97" w:rsidRPr="00BC58EF">
              <w:rPr>
                <w:rFonts w:asciiTheme="majorEastAsia" w:eastAsiaTheme="majorEastAsia" w:hAnsiTheme="majorEastAsia" w:hint="eastAsia"/>
                <w:szCs w:val="24"/>
              </w:rPr>
              <w:t>資</w:t>
            </w:r>
            <w:r w:rsidR="00366C97" w:rsidRPr="00366C97">
              <w:rPr>
                <w:rFonts w:asciiTheme="majorEastAsia" w:eastAsiaTheme="majorEastAsia" w:hAnsiTheme="majorEastAsia" w:hint="eastAsia"/>
                <w:szCs w:val="24"/>
              </w:rPr>
              <w:t>料</w:t>
            </w:r>
            <w:r w:rsidRPr="00366C97">
              <w:rPr>
                <w:rFonts w:asciiTheme="majorEastAsia" w:eastAsiaTheme="majorEastAsia" w:hAnsiTheme="majorEastAsia" w:hint="eastAsia"/>
                <w:szCs w:val="24"/>
              </w:rPr>
              <w:t>包括</w:t>
            </w:r>
            <w:r w:rsidR="00366C97" w:rsidRPr="00366C97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建築物的歷史，活化後，建築物如何被保育，如何得到創新的發展</w:t>
            </w:r>
            <w:r w:rsidR="00366C97">
              <w:rPr>
                <w:rFonts w:ascii="DengXian" w:eastAsia="DengXian" w:hAnsi="DengXian" w:hint="eastAsia"/>
                <w:szCs w:val="24"/>
              </w:rPr>
              <w:t>。</w:t>
            </w:r>
            <w:r w:rsidRPr="00AF64D7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）</w:t>
            </w:r>
          </w:p>
          <w:p w14:paraId="69D10043" w14:textId="31E14EDC" w:rsidR="00963FA8" w:rsidRPr="00AF64D7" w:rsidRDefault="00963FA8" w:rsidP="00963FA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F64D7">
              <w:rPr>
                <w:rFonts w:asciiTheme="majorEastAsia" w:eastAsiaTheme="majorEastAsia" w:hAnsiTheme="majorEastAsia" w:hint="eastAsia"/>
                <w:szCs w:val="24"/>
              </w:rPr>
              <w:t>展示學習成果：</w:t>
            </w:r>
            <w:r w:rsidR="00AF64D7" w:rsidRPr="00AF64D7">
              <w:rPr>
                <w:rFonts w:asciiTheme="majorEastAsia" w:eastAsiaTheme="majorEastAsia" w:hAnsiTheme="majorEastAsia" w:hint="eastAsia"/>
                <w:szCs w:val="24"/>
              </w:rPr>
              <w:t>運用不同媒介（例如：圖片</w:t>
            </w:r>
            <w:r w:rsidR="00590980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F64D7" w:rsidRPr="00AF64D7">
              <w:rPr>
                <w:rFonts w:asciiTheme="majorEastAsia" w:eastAsiaTheme="majorEastAsia" w:hAnsiTheme="majorEastAsia" w:hint="eastAsia"/>
                <w:szCs w:val="24"/>
              </w:rPr>
              <w:t>文字</w:t>
            </w:r>
            <w:r w:rsidR="00590980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F64D7" w:rsidRPr="00AF64D7">
              <w:rPr>
                <w:rFonts w:asciiTheme="majorEastAsia" w:eastAsiaTheme="majorEastAsia" w:hAnsiTheme="majorEastAsia" w:hint="eastAsia"/>
                <w:szCs w:val="24"/>
              </w:rPr>
              <w:t>視頻等），向家人介紹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中國內地兩個你最欣賞的活化建築物，並且解釋你欣賞這兩個活化建築物的原因</w:t>
            </w:r>
            <w:r w:rsidRPr="00AF64D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1203EA7A" w14:textId="77777777" w:rsidR="00963FA8" w:rsidRPr="00AF64D7" w:rsidRDefault="00963FA8" w:rsidP="00963FA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AF64D7">
              <w:rPr>
                <w:rFonts w:asciiTheme="majorEastAsia" w:eastAsiaTheme="majorEastAsia" w:hAnsiTheme="majorEastAsia" w:hint="eastAsia"/>
                <w:szCs w:val="24"/>
              </w:rPr>
              <w:t>學生可以選擇用圖畫</w:t>
            </w:r>
            <w:r w:rsidRPr="00AF64D7">
              <w:rPr>
                <w:rFonts w:asciiTheme="majorEastAsia" w:eastAsiaTheme="majorEastAsia" w:hAnsiTheme="majorEastAsia"/>
                <w:szCs w:val="24"/>
              </w:rPr>
              <w:t>/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文字</w:t>
            </w:r>
            <w:r w:rsidRPr="00AF64D7">
              <w:rPr>
                <w:rFonts w:asciiTheme="majorEastAsia" w:eastAsiaTheme="majorEastAsia" w:hAnsiTheme="majorEastAsia"/>
                <w:szCs w:val="24"/>
              </w:rPr>
              <w:t>/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簡報</w:t>
            </w:r>
            <w:r w:rsidRPr="00AF64D7">
              <w:rPr>
                <w:rFonts w:asciiTheme="majorEastAsia" w:eastAsiaTheme="majorEastAsia" w:hAnsiTheme="majorEastAsia"/>
                <w:szCs w:val="24"/>
              </w:rPr>
              <w:t>/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錄像</w:t>
            </w:r>
            <w:r w:rsidRPr="00AF64D7">
              <w:rPr>
                <w:rFonts w:asciiTheme="majorEastAsia" w:eastAsiaTheme="majorEastAsia" w:hAnsiTheme="majorEastAsia"/>
                <w:szCs w:val="24"/>
              </w:rPr>
              <w:t>/</w:t>
            </w:r>
            <w:r w:rsidRPr="00AF64D7">
              <w:rPr>
                <w:rFonts w:asciiTheme="majorEastAsia" w:eastAsiaTheme="majorEastAsia" w:hAnsiTheme="majorEastAsia" w:hint="eastAsia"/>
                <w:szCs w:val="24"/>
              </w:rPr>
              <w:t>錄音方式或混合多種方式完成以上工作。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43A1A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E43A1A">
              <w:rPr>
                <w:rFonts w:asciiTheme="majorEastAsia" w:eastAsiaTheme="majorEastAsia" w:hAnsiTheme="majorEastAsia" w:hint="eastAsia"/>
              </w:rPr>
              <w:t>中</w:t>
            </w:r>
            <w:r w:rsidRPr="00E43A1A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44474348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4160B0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2408D42" w:rsidR="00B37093" w:rsidRPr="0002100C" w:rsidRDefault="00B37093" w:rsidP="0002100C">
      <w:pPr>
        <w:pStyle w:val="Pa12"/>
        <w:spacing w:after="120" w:line="240" w:lineRule="auto"/>
        <w:jc w:val="both"/>
        <w:rPr>
          <w:rFonts w:asciiTheme="majorEastAsia" w:eastAsiaTheme="majorEastAsia" w:hAnsiTheme="majorEastAsia" w:cs="MSungHK"/>
          <w:color w:val="FF0000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6624" w14:textId="77777777" w:rsidR="00A720B9" w:rsidRDefault="00A720B9" w:rsidP="00FA375A">
      <w:r>
        <w:separator/>
      </w:r>
    </w:p>
  </w:endnote>
  <w:endnote w:type="continuationSeparator" w:id="0">
    <w:p w14:paraId="55250050" w14:textId="77777777" w:rsidR="00A720B9" w:rsidRDefault="00A720B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C430" w14:textId="77777777" w:rsidR="00A720B9" w:rsidRDefault="00A720B9" w:rsidP="00FA375A">
      <w:r>
        <w:separator/>
      </w:r>
    </w:p>
  </w:footnote>
  <w:footnote w:type="continuationSeparator" w:id="0">
    <w:p w14:paraId="518EDBF9" w14:textId="77777777" w:rsidR="00A720B9" w:rsidRDefault="00A720B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F4D9A"/>
    <w:multiLevelType w:val="hybridMultilevel"/>
    <w:tmpl w:val="C9AEAFE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67B3"/>
    <w:rsid w:val="0001251D"/>
    <w:rsid w:val="0001254C"/>
    <w:rsid w:val="0002100C"/>
    <w:rsid w:val="00040035"/>
    <w:rsid w:val="00041125"/>
    <w:rsid w:val="000463B1"/>
    <w:rsid w:val="0006496E"/>
    <w:rsid w:val="0007684B"/>
    <w:rsid w:val="00094C60"/>
    <w:rsid w:val="00094F81"/>
    <w:rsid w:val="000A5DEA"/>
    <w:rsid w:val="000A658C"/>
    <w:rsid w:val="000B7199"/>
    <w:rsid w:val="000E018A"/>
    <w:rsid w:val="000E24E1"/>
    <w:rsid w:val="000F23F5"/>
    <w:rsid w:val="00111E29"/>
    <w:rsid w:val="00120DBF"/>
    <w:rsid w:val="00154542"/>
    <w:rsid w:val="00165577"/>
    <w:rsid w:val="001747E2"/>
    <w:rsid w:val="00177623"/>
    <w:rsid w:val="00177ED3"/>
    <w:rsid w:val="00184A64"/>
    <w:rsid w:val="0018669E"/>
    <w:rsid w:val="001878D1"/>
    <w:rsid w:val="001A156D"/>
    <w:rsid w:val="001C4554"/>
    <w:rsid w:val="001C4F4B"/>
    <w:rsid w:val="001D507A"/>
    <w:rsid w:val="001E3949"/>
    <w:rsid w:val="001E5514"/>
    <w:rsid w:val="0020094F"/>
    <w:rsid w:val="00212549"/>
    <w:rsid w:val="00231314"/>
    <w:rsid w:val="00232776"/>
    <w:rsid w:val="00246EB3"/>
    <w:rsid w:val="0026008F"/>
    <w:rsid w:val="002659AE"/>
    <w:rsid w:val="002704A0"/>
    <w:rsid w:val="002733FE"/>
    <w:rsid w:val="0029506D"/>
    <w:rsid w:val="00297C6C"/>
    <w:rsid w:val="002B02D7"/>
    <w:rsid w:val="002C62FC"/>
    <w:rsid w:val="002E766E"/>
    <w:rsid w:val="00307DD7"/>
    <w:rsid w:val="00337ED8"/>
    <w:rsid w:val="00343256"/>
    <w:rsid w:val="00344CBB"/>
    <w:rsid w:val="00356DA7"/>
    <w:rsid w:val="00357EB4"/>
    <w:rsid w:val="00366C97"/>
    <w:rsid w:val="00370044"/>
    <w:rsid w:val="00370A5D"/>
    <w:rsid w:val="00370E3A"/>
    <w:rsid w:val="0038430C"/>
    <w:rsid w:val="003B6E70"/>
    <w:rsid w:val="003D543E"/>
    <w:rsid w:val="00401856"/>
    <w:rsid w:val="004160B0"/>
    <w:rsid w:val="0042692F"/>
    <w:rsid w:val="004300C3"/>
    <w:rsid w:val="00456C32"/>
    <w:rsid w:val="0049266A"/>
    <w:rsid w:val="004A1108"/>
    <w:rsid w:val="004B67C8"/>
    <w:rsid w:val="004B6830"/>
    <w:rsid w:val="004D1521"/>
    <w:rsid w:val="004D668F"/>
    <w:rsid w:val="004D79BD"/>
    <w:rsid w:val="0052468D"/>
    <w:rsid w:val="00525DA9"/>
    <w:rsid w:val="00527B6A"/>
    <w:rsid w:val="005473EA"/>
    <w:rsid w:val="00563A13"/>
    <w:rsid w:val="00564E62"/>
    <w:rsid w:val="00586CE1"/>
    <w:rsid w:val="00590980"/>
    <w:rsid w:val="00596D5D"/>
    <w:rsid w:val="005B69F3"/>
    <w:rsid w:val="005D2992"/>
    <w:rsid w:val="005E7B17"/>
    <w:rsid w:val="005F43C8"/>
    <w:rsid w:val="006026EA"/>
    <w:rsid w:val="006129E3"/>
    <w:rsid w:val="00647001"/>
    <w:rsid w:val="00665000"/>
    <w:rsid w:val="00665076"/>
    <w:rsid w:val="00674758"/>
    <w:rsid w:val="00697D4C"/>
    <w:rsid w:val="006B489A"/>
    <w:rsid w:val="006B49A7"/>
    <w:rsid w:val="006E1ED0"/>
    <w:rsid w:val="00711BD3"/>
    <w:rsid w:val="007177C3"/>
    <w:rsid w:val="0072152C"/>
    <w:rsid w:val="00726F62"/>
    <w:rsid w:val="00731B38"/>
    <w:rsid w:val="00741980"/>
    <w:rsid w:val="007623D3"/>
    <w:rsid w:val="00762819"/>
    <w:rsid w:val="0077579A"/>
    <w:rsid w:val="007828EC"/>
    <w:rsid w:val="00795AA1"/>
    <w:rsid w:val="007971CA"/>
    <w:rsid w:val="007A4AF3"/>
    <w:rsid w:val="007B63C0"/>
    <w:rsid w:val="007C690C"/>
    <w:rsid w:val="007D2B3A"/>
    <w:rsid w:val="007E2A05"/>
    <w:rsid w:val="00820BA1"/>
    <w:rsid w:val="00826C46"/>
    <w:rsid w:val="00830F86"/>
    <w:rsid w:val="00835770"/>
    <w:rsid w:val="00837C6A"/>
    <w:rsid w:val="00866604"/>
    <w:rsid w:val="00882A96"/>
    <w:rsid w:val="008A41B1"/>
    <w:rsid w:val="008A4D71"/>
    <w:rsid w:val="008B5E78"/>
    <w:rsid w:val="008C03BB"/>
    <w:rsid w:val="008C62B0"/>
    <w:rsid w:val="008C7098"/>
    <w:rsid w:val="008E5A03"/>
    <w:rsid w:val="008E7506"/>
    <w:rsid w:val="008F6932"/>
    <w:rsid w:val="009211BA"/>
    <w:rsid w:val="009348AB"/>
    <w:rsid w:val="009608B8"/>
    <w:rsid w:val="00963FA8"/>
    <w:rsid w:val="0099321F"/>
    <w:rsid w:val="009A481B"/>
    <w:rsid w:val="009D24CD"/>
    <w:rsid w:val="009E564C"/>
    <w:rsid w:val="009F4113"/>
    <w:rsid w:val="00A07C9B"/>
    <w:rsid w:val="00A11D24"/>
    <w:rsid w:val="00A129B1"/>
    <w:rsid w:val="00A5363F"/>
    <w:rsid w:val="00A720B9"/>
    <w:rsid w:val="00A82CE3"/>
    <w:rsid w:val="00A92780"/>
    <w:rsid w:val="00AA756A"/>
    <w:rsid w:val="00AB4B7A"/>
    <w:rsid w:val="00AC1B03"/>
    <w:rsid w:val="00AD0145"/>
    <w:rsid w:val="00AD2876"/>
    <w:rsid w:val="00AD649D"/>
    <w:rsid w:val="00AF64D7"/>
    <w:rsid w:val="00B0449B"/>
    <w:rsid w:val="00B05379"/>
    <w:rsid w:val="00B05809"/>
    <w:rsid w:val="00B05E04"/>
    <w:rsid w:val="00B112E0"/>
    <w:rsid w:val="00B262FE"/>
    <w:rsid w:val="00B27A80"/>
    <w:rsid w:val="00B354D3"/>
    <w:rsid w:val="00B37093"/>
    <w:rsid w:val="00B52E0B"/>
    <w:rsid w:val="00B6586F"/>
    <w:rsid w:val="00B75E23"/>
    <w:rsid w:val="00B76088"/>
    <w:rsid w:val="00B87360"/>
    <w:rsid w:val="00BA13B6"/>
    <w:rsid w:val="00BA4CF7"/>
    <w:rsid w:val="00BB46F3"/>
    <w:rsid w:val="00BC0A26"/>
    <w:rsid w:val="00BC58EF"/>
    <w:rsid w:val="00BC783B"/>
    <w:rsid w:val="00C05714"/>
    <w:rsid w:val="00C30A57"/>
    <w:rsid w:val="00C33E99"/>
    <w:rsid w:val="00C54791"/>
    <w:rsid w:val="00C5632E"/>
    <w:rsid w:val="00C74AA5"/>
    <w:rsid w:val="00C90E05"/>
    <w:rsid w:val="00CA0EE5"/>
    <w:rsid w:val="00CA6BA4"/>
    <w:rsid w:val="00CA6E4B"/>
    <w:rsid w:val="00CB527E"/>
    <w:rsid w:val="00CE2C9C"/>
    <w:rsid w:val="00CF7CE1"/>
    <w:rsid w:val="00D01BC1"/>
    <w:rsid w:val="00D30880"/>
    <w:rsid w:val="00D343E8"/>
    <w:rsid w:val="00D47820"/>
    <w:rsid w:val="00D52473"/>
    <w:rsid w:val="00D558E9"/>
    <w:rsid w:val="00D60659"/>
    <w:rsid w:val="00D66B8E"/>
    <w:rsid w:val="00D741D1"/>
    <w:rsid w:val="00D74312"/>
    <w:rsid w:val="00D91597"/>
    <w:rsid w:val="00D97C59"/>
    <w:rsid w:val="00DB3DB8"/>
    <w:rsid w:val="00DB4E0D"/>
    <w:rsid w:val="00DB776A"/>
    <w:rsid w:val="00DD0C53"/>
    <w:rsid w:val="00DD7D19"/>
    <w:rsid w:val="00DE29B9"/>
    <w:rsid w:val="00DE4838"/>
    <w:rsid w:val="00DF1567"/>
    <w:rsid w:val="00E2388E"/>
    <w:rsid w:val="00E4128D"/>
    <w:rsid w:val="00E42E6C"/>
    <w:rsid w:val="00E43A1A"/>
    <w:rsid w:val="00E548B5"/>
    <w:rsid w:val="00E60071"/>
    <w:rsid w:val="00E85C95"/>
    <w:rsid w:val="00EA1E1D"/>
    <w:rsid w:val="00EC6190"/>
    <w:rsid w:val="00EC7F43"/>
    <w:rsid w:val="00ED6FC9"/>
    <w:rsid w:val="00EE1F47"/>
    <w:rsid w:val="00EE702A"/>
    <w:rsid w:val="00EF2B33"/>
    <w:rsid w:val="00EF5F16"/>
    <w:rsid w:val="00F04EF3"/>
    <w:rsid w:val="00F166B2"/>
    <w:rsid w:val="00F52181"/>
    <w:rsid w:val="00F55F24"/>
    <w:rsid w:val="00F56120"/>
    <w:rsid w:val="00F645EB"/>
    <w:rsid w:val="00F718A2"/>
    <w:rsid w:val="00F827EE"/>
    <w:rsid w:val="00F85C84"/>
    <w:rsid w:val="00FA375A"/>
    <w:rsid w:val="00FB0B33"/>
    <w:rsid w:val="00FB5556"/>
    <w:rsid w:val="00FC14FE"/>
    <w:rsid w:val="00FC1A54"/>
    <w:rsid w:val="00FC2B95"/>
    <w:rsid w:val="00FC49A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6</cp:revision>
  <cp:lastPrinted>2021-01-05T07:01:00Z</cp:lastPrinted>
  <dcterms:created xsi:type="dcterms:W3CDTF">2022-02-07T03:14:00Z</dcterms:created>
  <dcterms:modified xsi:type="dcterms:W3CDTF">2022-02-21T05:51:00Z</dcterms:modified>
</cp:coreProperties>
</file>